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CellSpacing w:w="0" w:type="dxa"/>
        <w:shd w:val="clear" w:color="auto" w:fill="999999"/>
        <w:tblCellMar>
          <w:left w:w="0" w:type="dxa"/>
          <w:right w:w="0" w:type="dxa"/>
        </w:tblCellMar>
        <w:tblLook w:val="04A0" w:firstRow="1" w:lastRow="0" w:firstColumn="1" w:lastColumn="0" w:noHBand="0" w:noVBand="1"/>
      </w:tblPr>
      <w:tblGrid>
        <w:gridCol w:w="9000"/>
      </w:tblGrid>
      <w:tr w:rsidR="00812C3E" w:rsidRPr="00812C3E" w14:paraId="26B699B7" w14:textId="77777777" w:rsidTr="00812C3E">
        <w:trPr>
          <w:tblCellSpacing w:w="0" w:type="dxa"/>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12C3E" w:rsidRPr="00812C3E" w14:paraId="7C053AA9" w14:textId="77777777">
              <w:trPr>
                <w:tblCellSpacing w:w="0" w:type="dxa"/>
              </w:trPr>
              <w:tc>
                <w:tcPr>
                  <w:tcW w:w="0" w:type="auto"/>
                  <w:tcMar>
                    <w:top w:w="150" w:type="dxa"/>
                    <w:left w:w="150" w:type="dxa"/>
                    <w:bottom w:w="150" w:type="dxa"/>
                    <w:right w:w="150" w:type="dxa"/>
                  </w:tcMar>
                  <w:hideMark/>
                </w:tcPr>
                <w:p w14:paraId="402C3BF7" w14:textId="52456BDF" w:rsidR="00812C3E" w:rsidRPr="00812C3E" w:rsidRDefault="00812C3E" w:rsidP="00812C3E">
                  <w:pPr>
                    <w:spacing w:after="0" w:line="240" w:lineRule="auto"/>
                    <w:rPr>
                      <w:rFonts w:ascii="Times New Roman" w:eastAsia="Times New Roman" w:hAnsi="Times New Roman" w:cs="Times New Roman"/>
                      <w:b/>
                      <w:bCs/>
                      <w:sz w:val="24"/>
                      <w:szCs w:val="24"/>
                    </w:rPr>
                  </w:pPr>
                  <w:r>
                    <w:rPr>
                      <w:noProof/>
                    </w:rPr>
                    <w:drawing>
                      <wp:inline distT="0" distB="0" distL="0" distR="0" wp14:anchorId="2E4A9C8F" wp14:editId="3799D7FD">
                        <wp:extent cx="2209800" cy="1048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8477" cy="1062558"/>
                                </a:xfrm>
                                <a:prstGeom prst="rect">
                                  <a:avLst/>
                                </a:prstGeom>
                                <a:noFill/>
                                <a:ln>
                                  <a:noFill/>
                                </a:ln>
                              </pic:spPr>
                            </pic:pic>
                          </a:graphicData>
                        </a:graphic>
                      </wp:inline>
                    </w:drawing>
                  </w:r>
                </w:p>
              </w:tc>
            </w:tr>
          </w:tbl>
          <w:p w14:paraId="6FA84D9E" w14:textId="77777777" w:rsidR="00812C3E" w:rsidRPr="00812C3E" w:rsidRDefault="00812C3E" w:rsidP="00812C3E">
            <w:pPr>
              <w:spacing w:after="0" w:line="240" w:lineRule="auto"/>
              <w:rPr>
                <w:rFonts w:ascii="Trebuchet MS" w:eastAsia="Times New Roman" w:hAnsi="Trebuchet MS" w:cs="Times New Roman"/>
                <w:b/>
                <w:bCs/>
                <w:color w:val="000000"/>
                <w:sz w:val="17"/>
                <w:szCs w:val="17"/>
              </w:rPr>
            </w:pPr>
          </w:p>
        </w:tc>
      </w:tr>
      <w:tr w:rsidR="00812C3E" w:rsidRPr="00812C3E" w14:paraId="4BF295CE" w14:textId="77777777" w:rsidTr="00812C3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12C3E" w:rsidRPr="00812C3E" w14:paraId="4C98AA22"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12C3E" w:rsidRPr="00812C3E" w14:paraId="61AAC2F8" w14:textId="77777777">
                    <w:trPr>
                      <w:tblCellSpacing w:w="0" w:type="dxa"/>
                    </w:trPr>
                    <w:tc>
                      <w:tcPr>
                        <w:tcW w:w="0" w:type="auto"/>
                        <w:tcBorders>
                          <w:top w:val="nil"/>
                          <w:left w:val="nil"/>
                          <w:bottom w:val="single" w:sz="18" w:space="0" w:color="auto"/>
                          <w:right w:val="nil"/>
                        </w:tcBorders>
                        <w:tcMar>
                          <w:top w:w="0" w:type="dxa"/>
                          <w:left w:w="180" w:type="dxa"/>
                          <w:bottom w:w="45" w:type="dxa"/>
                          <w:right w:w="195" w:type="dxa"/>
                        </w:tcMar>
                        <w:vAlign w:val="center"/>
                        <w:hideMark/>
                      </w:tcPr>
                      <w:p w14:paraId="4633C9F0" w14:textId="77777777" w:rsidR="00812C3E" w:rsidRPr="00812C3E" w:rsidRDefault="00812C3E" w:rsidP="00812C3E">
                        <w:pPr>
                          <w:spacing w:after="0" w:line="240" w:lineRule="auto"/>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tbl>
                        <w:tblPr>
                          <w:tblW w:w="8625" w:type="dxa"/>
                          <w:tblCellSpacing w:w="15" w:type="dxa"/>
                          <w:tblCellMar>
                            <w:top w:w="15" w:type="dxa"/>
                            <w:left w:w="15" w:type="dxa"/>
                            <w:bottom w:w="15" w:type="dxa"/>
                            <w:right w:w="15" w:type="dxa"/>
                          </w:tblCellMar>
                          <w:tblLook w:val="04A0" w:firstRow="1" w:lastRow="0" w:firstColumn="1" w:lastColumn="0" w:noHBand="0" w:noVBand="1"/>
                        </w:tblPr>
                        <w:tblGrid>
                          <w:gridCol w:w="3897"/>
                          <w:gridCol w:w="4728"/>
                        </w:tblGrid>
                        <w:tr w:rsidR="00812C3E" w:rsidRPr="00812C3E" w14:paraId="377D95A0" w14:textId="77777777">
                          <w:trPr>
                            <w:tblCellSpacing w:w="15" w:type="dxa"/>
                          </w:trPr>
                          <w:tc>
                            <w:tcPr>
                              <w:tcW w:w="3825" w:type="dxa"/>
                              <w:hideMark/>
                            </w:tcPr>
                            <w:p w14:paraId="4BD6C877" w14:textId="77777777" w:rsidR="00812C3E" w:rsidRPr="00812C3E" w:rsidRDefault="00812C3E" w:rsidP="00812C3E">
                              <w:pPr>
                                <w:spacing w:after="0" w:line="240" w:lineRule="auto"/>
                                <w:rPr>
                                  <w:rFonts w:ascii="Abadi" w:eastAsia="Times New Roman" w:hAnsi="Abadi" w:cs="Times New Roman"/>
                                  <w:b/>
                                  <w:bCs/>
                                  <w:color w:val="000000"/>
                                  <w:sz w:val="20"/>
                                  <w:szCs w:val="20"/>
                                </w:rPr>
                              </w:pPr>
                            </w:p>
                          </w:tc>
                          <w:tc>
                            <w:tcPr>
                              <w:tcW w:w="4650" w:type="dxa"/>
                              <w:hideMark/>
                            </w:tcPr>
                            <w:p w14:paraId="09D553A0" w14:textId="3C2F9D19" w:rsidR="00812C3E" w:rsidRPr="00812C3E" w:rsidRDefault="00812C3E" w:rsidP="00812C3E">
                              <w:pPr>
                                <w:spacing w:after="0" w:line="240" w:lineRule="auto"/>
                                <w:rPr>
                                  <w:rFonts w:ascii="Abadi" w:eastAsia="Times New Roman" w:hAnsi="Abadi" w:cs="Arial"/>
                                  <w:b/>
                                  <w:bCs/>
                                  <w:color w:val="ED1B30"/>
                                  <w:sz w:val="32"/>
                                  <w:szCs w:val="32"/>
                                </w:rPr>
                              </w:pPr>
                              <w:r w:rsidRPr="00812C3E">
                                <w:rPr>
                                  <w:rFonts w:ascii="Abadi" w:eastAsia="Times New Roman" w:hAnsi="Abadi" w:cs="Arial"/>
                                  <w:b/>
                                  <w:bCs/>
                                  <w:color w:val="ED1B30"/>
                                  <w:sz w:val="32"/>
                                  <w:szCs w:val="32"/>
                                </w:rPr>
                                <w:t>Labor &amp; Employment</w:t>
                              </w:r>
                            </w:p>
                            <w:p w14:paraId="57F5E529" w14:textId="77777777" w:rsidR="00812C3E" w:rsidRPr="00812C3E" w:rsidRDefault="00812C3E" w:rsidP="00812C3E">
                              <w:pPr>
                                <w:spacing w:after="0" w:line="240" w:lineRule="auto"/>
                                <w:rPr>
                                  <w:rFonts w:ascii="Abadi" w:eastAsia="Times New Roman" w:hAnsi="Abadi" w:cs="Times New Roman"/>
                                  <w:b/>
                                  <w:bCs/>
                                  <w:color w:val="000000"/>
                                  <w:sz w:val="32"/>
                                  <w:szCs w:val="32"/>
                                </w:rPr>
                              </w:pPr>
                              <w:r w:rsidRPr="00812C3E">
                                <w:rPr>
                                  <w:rFonts w:ascii="Abadi" w:eastAsia="Times New Roman" w:hAnsi="Abadi" w:cs="Arial"/>
                                  <w:b/>
                                  <w:bCs/>
                                  <w:color w:val="ED1B30"/>
                                  <w:sz w:val="32"/>
                                  <w:szCs w:val="32"/>
                                </w:rPr>
                                <w:t>Client ALERT</w:t>
                              </w:r>
                            </w:p>
                            <w:p w14:paraId="0F652D0A" w14:textId="77777777" w:rsidR="00812C3E" w:rsidRPr="00812C3E" w:rsidRDefault="00812C3E" w:rsidP="00812C3E">
                              <w:pPr>
                                <w:spacing w:after="0" w:line="240" w:lineRule="auto"/>
                                <w:rPr>
                                  <w:rFonts w:ascii="Abadi" w:eastAsia="Times New Roman" w:hAnsi="Abadi" w:cs="Times New Roman"/>
                                  <w:b/>
                                  <w:bCs/>
                                  <w:color w:val="000000"/>
                                  <w:sz w:val="20"/>
                                  <w:szCs w:val="20"/>
                                </w:rPr>
                              </w:pPr>
                              <w:r w:rsidRPr="00812C3E">
                                <w:rPr>
                                  <w:rFonts w:ascii="Abadi" w:eastAsia="Times New Roman" w:hAnsi="Abadi" w:cs="Arial"/>
                                  <w:b/>
                                  <w:bCs/>
                                  <w:color w:val="333333"/>
                                  <w:sz w:val="32"/>
                                  <w:szCs w:val="32"/>
                                </w:rPr>
                                <w:t>April 24, 2020</w:t>
                              </w:r>
                            </w:p>
                          </w:tc>
                        </w:tr>
                      </w:tbl>
                      <w:p w14:paraId="67E1EF6B" w14:textId="77777777" w:rsidR="00812C3E" w:rsidRPr="00812C3E" w:rsidRDefault="00812C3E" w:rsidP="00812C3E">
                        <w:pPr>
                          <w:spacing w:after="0" w:line="240" w:lineRule="auto"/>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tc>
                  </w:tr>
                </w:tbl>
                <w:p w14:paraId="6F06A1E5" w14:textId="77777777" w:rsidR="00812C3E" w:rsidRPr="00812C3E" w:rsidRDefault="00812C3E" w:rsidP="00812C3E">
                  <w:pPr>
                    <w:spacing w:after="0" w:line="240" w:lineRule="auto"/>
                    <w:rPr>
                      <w:rFonts w:ascii="Abadi" w:eastAsia="Times New Roman" w:hAnsi="Abadi" w:cs="Times New Roman"/>
                      <w:b/>
                      <w:bCs/>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000"/>
                  </w:tblGrid>
                  <w:tr w:rsidR="00812C3E" w:rsidRPr="00812C3E" w14:paraId="19ADF2E4" w14:textId="77777777" w:rsidTr="00812C3E">
                    <w:trPr>
                      <w:tblCellSpacing w:w="0" w:type="dxa"/>
                    </w:trPr>
                    <w:tc>
                      <w:tcPr>
                        <w:tcW w:w="0" w:type="auto"/>
                        <w:tcBorders>
                          <w:top w:val="nil"/>
                          <w:left w:val="nil"/>
                          <w:bottom w:val="nil"/>
                          <w:right w:val="nil"/>
                        </w:tcBorders>
                        <w:tcMar>
                          <w:top w:w="210" w:type="dxa"/>
                          <w:left w:w="270" w:type="dxa"/>
                          <w:bottom w:w="60" w:type="dxa"/>
                          <w:right w:w="270" w:type="dxa"/>
                        </w:tcMar>
                        <w:vAlign w:val="center"/>
                        <w:hideMark/>
                      </w:tcPr>
                      <w:p w14:paraId="6C7DCD6B" w14:textId="77777777" w:rsidR="00812C3E" w:rsidRPr="00812C3E" w:rsidRDefault="00812C3E" w:rsidP="00812C3E">
                        <w:pPr>
                          <w:spacing w:after="0" w:line="240" w:lineRule="auto"/>
                          <w:jc w:val="center"/>
                          <w:rPr>
                            <w:rFonts w:ascii="Abadi" w:eastAsia="Times New Roman" w:hAnsi="Abadi" w:cs="Times New Roman"/>
                            <w:b/>
                            <w:bCs/>
                            <w:color w:val="000000"/>
                          </w:rPr>
                        </w:pPr>
                        <w:r w:rsidRPr="00812C3E">
                          <w:rPr>
                            <w:rFonts w:ascii="Abadi" w:eastAsia="Times New Roman" w:hAnsi="Abadi" w:cs="Arial"/>
                            <w:b/>
                            <w:bCs/>
                            <w:color w:val="ED1B30"/>
                          </w:rPr>
                          <w:t>Coronavirus- Preparing to Return to Work</w:t>
                        </w:r>
                      </w:p>
                      <w:p w14:paraId="313E6C32"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p w14:paraId="42C98A6A"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As our state and federal governments begin to formulate plans to enable business to reopen and employees to return to work in person, employers should take time now to prepare for that return, understanding that it will raise considerable employment law issues.</w:t>
                        </w:r>
                      </w:p>
                      <w:p w14:paraId="48CFCC97"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p w14:paraId="66E88CA7"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In New Jersey, Governor Murphy gradually increased restrictions to slow the spread of COVID-19, issuing twenty-six executive orders between February 3 and April 14, 2020.  Most national and regional reopening plans contemplate a similarly gradual lifting of restrictions.  Businesses should anticipate that when, and how, they are permitted to reopen for in-person work will depend on the extent to which they can practice social distancing while open.  Employers will need to consider practical considerations of workplace safety as well as many issues arising from reintegrating their workforce.</w:t>
                        </w:r>
                      </w:p>
                      <w:p w14:paraId="0268CDAB"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p w14:paraId="09A6DB49"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WORKPLACE SAFETY</w:t>
                        </w:r>
                      </w:p>
                      <w:p w14:paraId="613741E8"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p w14:paraId="1FE84F92"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Employers who invested in remote work capabilities prior to the COVID-19 related closures were at a significant competitive advantage.  Employers who invest now in ensuring their workspaces can safely reopen can anticipate a similar benefit.  The ability to demonstrate a responsible social distancing plan may enable a business to reopen sooner and reassure employees who might otherwise be hesitant about returning to work. </w:t>
                        </w:r>
                      </w:p>
                      <w:p w14:paraId="2E41469E"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p w14:paraId="193EE62E"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 xml:space="preserve">Employers should develop plans to reopen while maintaining social distance to the extent possible.  Those plans should consider physical distancing measures such as increasing distance between employees, installing barriers, reducing the number of in-person meetings, and limiting business travel.  They may also need to include staggered schedules to reduce the number of employees in a workspace at once.  Employers should </w:t>
                        </w:r>
                        <w:proofErr w:type="gramStart"/>
                        <w:r w:rsidRPr="00812C3E">
                          <w:rPr>
                            <w:rFonts w:ascii="Abadi" w:eastAsia="Times New Roman" w:hAnsi="Abadi" w:cs="Arial"/>
                            <w:b/>
                            <w:bCs/>
                            <w:color w:val="000000"/>
                            <w:sz w:val="20"/>
                            <w:szCs w:val="20"/>
                          </w:rPr>
                          <w:t>make arrangements</w:t>
                        </w:r>
                        <w:proofErr w:type="gramEnd"/>
                        <w:r w:rsidRPr="00812C3E">
                          <w:rPr>
                            <w:rFonts w:ascii="Abadi" w:eastAsia="Times New Roman" w:hAnsi="Abadi" w:cs="Arial"/>
                            <w:b/>
                            <w:bCs/>
                            <w:color w:val="000000"/>
                            <w:sz w:val="20"/>
                            <w:szCs w:val="20"/>
                          </w:rPr>
                          <w:t xml:space="preserve"> now for increased cleaning of workspaces.  Employers should use this time to familiarize themselves with OSHA’s standards for the use of personal protective equipment and, if </w:t>
                        </w:r>
                        <w:proofErr w:type="gramStart"/>
                        <w:r w:rsidRPr="00812C3E">
                          <w:rPr>
                            <w:rFonts w:ascii="Abadi" w:eastAsia="Times New Roman" w:hAnsi="Abadi" w:cs="Arial"/>
                            <w:b/>
                            <w:bCs/>
                            <w:color w:val="000000"/>
                            <w:sz w:val="20"/>
                            <w:szCs w:val="20"/>
                          </w:rPr>
                          <w:t>necessary</w:t>
                        </w:r>
                        <w:proofErr w:type="gramEnd"/>
                        <w:r w:rsidRPr="00812C3E">
                          <w:rPr>
                            <w:rFonts w:ascii="Abadi" w:eastAsia="Times New Roman" w:hAnsi="Abadi" w:cs="Arial"/>
                            <w:b/>
                            <w:bCs/>
                            <w:color w:val="000000"/>
                            <w:sz w:val="20"/>
                            <w:szCs w:val="20"/>
                          </w:rPr>
                          <w:t xml:space="preserve"> for their business, plan to obtain such equipment.  Similarly, the CDC has issued guidance regarding effective cleaning practices that employers should be prepared to implement.</w:t>
                        </w:r>
                      </w:p>
                      <w:p w14:paraId="1D1130D4"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p w14:paraId="378AFEBF"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RETURNING EMPLOYEES TO WORK</w:t>
                        </w:r>
                      </w:p>
                      <w:p w14:paraId="6A5BB509"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p w14:paraId="5B3CF754"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Many businesses have been able to transition employees to remote work.  Others have had to take the difficult steps of layoffs or furloughs.  In either case, returning to an in-person work environment will need to be a gradual and flexible process.</w:t>
                        </w:r>
                      </w:p>
                      <w:p w14:paraId="4CE94248"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p w14:paraId="2BA0AC29"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Accommodations</w:t>
                        </w:r>
                      </w:p>
                      <w:p w14:paraId="4DF958DE"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 xml:space="preserve">Employees who did not previously require accommodations may now need them, depending on their individual level of COVID-19 risk.  Employers should be prepared to engage in an interactive process to determine how to accommodate requests to not return to in-person work at this time.  Employers will also need to be prepared for the renewal of previous requests to work from home.  Employers who have denied requests for work from home as an accommodation in the </w:t>
                        </w:r>
                        <w:proofErr w:type="gramStart"/>
                        <w:r w:rsidRPr="00812C3E">
                          <w:rPr>
                            <w:rFonts w:ascii="Abadi" w:eastAsia="Times New Roman" w:hAnsi="Abadi" w:cs="Arial"/>
                            <w:b/>
                            <w:bCs/>
                            <w:color w:val="000000"/>
                            <w:sz w:val="20"/>
                            <w:szCs w:val="20"/>
                          </w:rPr>
                          <w:t>past, but</w:t>
                        </w:r>
                        <w:proofErr w:type="gramEnd"/>
                        <w:r w:rsidRPr="00812C3E">
                          <w:rPr>
                            <w:rFonts w:ascii="Abadi" w:eastAsia="Times New Roman" w:hAnsi="Abadi" w:cs="Arial"/>
                            <w:b/>
                            <w:bCs/>
                            <w:color w:val="000000"/>
                            <w:sz w:val="20"/>
                            <w:szCs w:val="20"/>
                          </w:rPr>
                          <w:t xml:space="preserve"> have permitted employees to work from home during this crisis, will need to handle such requests very carefully. </w:t>
                        </w:r>
                      </w:p>
                      <w:p w14:paraId="71D30A6C"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lastRenderedPageBreak/>
                          <w:t> </w:t>
                        </w:r>
                      </w:p>
                      <w:p w14:paraId="4843BFE7"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Leave</w:t>
                        </w:r>
                      </w:p>
                      <w:p w14:paraId="6A25E5B2"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 xml:space="preserve">Employees now have access to expanded leave.  Employers who were not subject to the requirements of the FMLA may be covered by the expanded COVID-19 leave available under the Families First Coronavirus Relief Act, and employees who may not have been eligible for FMLA due to their length of service may also now qualify for extended leave.  Employers will need to revisit their handbooks and policies to incorporate these changes in the law.  Particularly in a scenario where many businesses are permitted to reopen, but schools and childcare facilities remain closed, employers should anticipate an increased volume in requests for leave.  Employers should plan for flexible ways to ensure </w:t>
                        </w:r>
                        <w:proofErr w:type="gramStart"/>
                        <w:r w:rsidRPr="00812C3E">
                          <w:rPr>
                            <w:rFonts w:ascii="Abadi" w:eastAsia="Times New Roman" w:hAnsi="Abadi" w:cs="Arial"/>
                            <w:b/>
                            <w:bCs/>
                            <w:color w:val="000000"/>
                            <w:sz w:val="20"/>
                            <w:szCs w:val="20"/>
                          </w:rPr>
                          <w:t>sufficient</w:t>
                        </w:r>
                        <w:proofErr w:type="gramEnd"/>
                        <w:r w:rsidRPr="00812C3E">
                          <w:rPr>
                            <w:rFonts w:ascii="Abadi" w:eastAsia="Times New Roman" w:hAnsi="Abadi" w:cs="Arial"/>
                            <w:b/>
                            <w:bCs/>
                            <w:color w:val="000000"/>
                            <w:sz w:val="20"/>
                            <w:szCs w:val="20"/>
                          </w:rPr>
                          <w:t xml:space="preserve"> staffing, and keep in mind that leave may be taken intermittently. </w:t>
                        </w:r>
                      </w:p>
                      <w:p w14:paraId="4AE9C344"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p w14:paraId="04F4ED3C"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Returning Employees from Furlough</w:t>
                        </w:r>
                      </w:p>
                      <w:p w14:paraId="433DCEFE"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 xml:space="preserve">If your business has furloughed employees and plans to return all or some of them to work, you will need to </w:t>
                        </w:r>
                        <w:proofErr w:type="gramStart"/>
                        <w:r w:rsidRPr="00812C3E">
                          <w:rPr>
                            <w:rFonts w:ascii="Abadi" w:eastAsia="Times New Roman" w:hAnsi="Abadi" w:cs="Arial"/>
                            <w:b/>
                            <w:bCs/>
                            <w:color w:val="000000"/>
                            <w:sz w:val="20"/>
                            <w:szCs w:val="20"/>
                          </w:rPr>
                          <w:t>plan ahead</w:t>
                        </w:r>
                        <w:proofErr w:type="gramEnd"/>
                        <w:r w:rsidRPr="00812C3E">
                          <w:rPr>
                            <w:rFonts w:ascii="Abadi" w:eastAsia="Times New Roman" w:hAnsi="Abadi" w:cs="Arial"/>
                            <w:b/>
                            <w:bCs/>
                            <w:color w:val="000000"/>
                            <w:sz w:val="20"/>
                            <w:szCs w:val="20"/>
                          </w:rPr>
                          <w:t xml:space="preserve"> for their reintegration into the workforce. Decisions about who to return and when must be made without regard to an employee’s status as disabled or the likelihood that an employee will seek an </w:t>
                        </w:r>
                        <w:proofErr w:type="gramStart"/>
                        <w:r w:rsidRPr="00812C3E">
                          <w:rPr>
                            <w:rFonts w:ascii="Abadi" w:eastAsia="Times New Roman" w:hAnsi="Abadi" w:cs="Arial"/>
                            <w:b/>
                            <w:bCs/>
                            <w:color w:val="000000"/>
                            <w:sz w:val="20"/>
                            <w:szCs w:val="20"/>
                          </w:rPr>
                          <w:t>accommodation, and</w:t>
                        </w:r>
                        <w:proofErr w:type="gramEnd"/>
                        <w:r w:rsidRPr="00812C3E">
                          <w:rPr>
                            <w:rFonts w:ascii="Abadi" w:eastAsia="Times New Roman" w:hAnsi="Abadi" w:cs="Arial"/>
                            <w:b/>
                            <w:bCs/>
                            <w:color w:val="000000"/>
                            <w:sz w:val="20"/>
                            <w:szCs w:val="20"/>
                          </w:rPr>
                          <w:t xml:space="preserve"> must be made without regard to an employee’s use or likely use of leave.  Employers should pay careful attention to their benefit plans regarding any necessary repayment of benefits contributions made during a furlough.    </w:t>
                        </w:r>
                      </w:p>
                      <w:p w14:paraId="353AC8F4"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p w14:paraId="2B3C1AF3"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Riker Danzig is here to help if you need assistance of any kind.  Please do not hesitate to contact </w:t>
                        </w:r>
                        <w:hyperlink r:id="rId5" w:tgtFrame="_blank" w:history="1">
                          <w:r w:rsidRPr="00812C3E">
                            <w:rPr>
                              <w:rFonts w:ascii="Abadi" w:eastAsia="Times New Roman" w:hAnsi="Abadi" w:cs="Arial"/>
                              <w:b/>
                              <w:bCs/>
                              <w:color w:val="0000FF"/>
                              <w:sz w:val="20"/>
                              <w:szCs w:val="20"/>
                              <w:u w:val="single"/>
                            </w:rPr>
                            <w:t xml:space="preserve">Scott </w:t>
                          </w:r>
                          <w:proofErr w:type="spellStart"/>
                          <w:r w:rsidRPr="00812C3E">
                            <w:rPr>
                              <w:rFonts w:ascii="Abadi" w:eastAsia="Times New Roman" w:hAnsi="Abadi" w:cs="Arial"/>
                              <w:b/>
                              <w:bCs/>
                              <w:color w:val="0000FF"/>
                              <w:sz w:val="20"/>
                              <w:szCs w:val="20"/>
                              <w:u w:val="single"/>
                            </w:rPr>
                            <w:t>Ohnegian</w:t>
                          </w:r>
                          <w:proofErr w:type="spellEnd"/>
                        </w:hyperlink>
                        <w:r w:rsidRPr="00812C3E">
                          <w:rPr>
                            <w:rFonts w:ascii="Abadi" w:eastAsia="Times New Roman" w:hAnsi="Abadi" w:cs="Arial"/>
                            <w:b/>
                            <w:bCs/>
                            <w:color w:val="000000"/>
                            <w:sz w:val="20"/>
                            <w:szCs w:val="20"/>
                          </w:rPr>
                          <w:t>, </w:t>
                        </w:r>
                        <w:hyperlink r:id="rId6" w:tgtFrame="_blank" w:history="1">
                          <w:r w:rsidRPr="00812C3E">
                            <w:rPr>
                              <w:rFonts w:ascii="Abadi" w:eastAsia="Times New Roman" w:hAnsi="Abadi" w:cs="Arial"/>
                              <w:b/>
                              <w:bCs/>
                              <w:color w:val="0000FF"/>
                              <w:sz w:val="20"/>
                              <w:szCs w:val="20"/>
                              <w:u w:val="single"/>
                            </w:rPr>
                            <w:t xml:space="preserve">Adam </w:t>
                          </w:r>
                          <w:proofErr w:type="spellStart"/>
                          <w:r w:rsidRPr="00812C3E">
                            <w:rPr>
                              <w:rFonts w:ascii="Abadi" w:eastAsia="Times New Roman" w:hAnsi="Abadi" w:cs="Arial"/>
                              <w:b/>
                              <w:bCs/>
                              <w:color w:val="0000FF"/>
                              <w:sz w:val="20"/>
                              <w:szCs w:val="20"/>
                              <w:u w:val="single"/>
                            </w:rPr>
                            <w:t>McInerney</w:t>
                          </w:r>
                          <w:proofErr w:type="spellEnd"/>
                        </w:hyperlink>
                        <w:r w:rsidRPr="00812C3E">
                          <w:rPr>
                            <w:rFonts w:ascii="Abadi" w:eastAsia="Times New Roman" w:hAnsi="Abadi" w:cs="Arial"/>
                            <w:b/>
                            <w:bCs/>
                            <w:color w:val="000000"/>
                            <w:sz w:val="20"/>
                            <w:szCs w:val="20"/>
                          </w:rPr>
                          <w:t>, </w:t>
                        </w:r>
                        <w:hyperlink r:id="rId7" w:tgtFrame="_blank" w:history="1">
                          <w:r w:rsidRPr="00812C3E">
                            <w:rPr>
                              <w:rFonts w:ascii="Abadi" w:eastAsia="Times New Roman" w:hAnsi="Abadi" w:cs="Arial"/>
                              <w:b/>
                              <w:bCs/>
                              <w:color w:val="0000FF"/>
                              <w:sz w:val="20"/>
                              <w:szCs w:val="20"/>
                              <w:u w:val="single"/>
                            </w:rPr>
                            <w:t xml:space="preserve">Fiona </w:t>
                          </w:r>
                          <w:proofErr w:type="spellStart"/>
                          <w:r w:rsidRPr="00812C3E">
                            <w:rPr>
                              <w:rFonts w:ascii="Abadi" w:eastAsia="Times New Roman" w:hAnsi="Abadi" w:cs="Arial"/>
                              <w:b/>
                              <w:bCs/>
                              <w:color w:val="0000FF"/>
                              <w:sz w:val="20"/>
                              <w:szCs w:val="20"/>
                              <w:u w:val="single"/>
                            </w:rPr>
                            <w:t>Cousland</w:t>
                          </w:r>
                          <w:proofErr w:type="spellEnd"/>
                          <w:r w:rsidRPr="00812C3E">
                            <w:rPr>
                              <w:rFonts w:ascii="Abadi" w:eastAsia="Times New Roman" w:hAnsi="Abadi" w:cs="Arial"/>
                              <w:b/>
                              <w:bCs/>
                              <w:color w:val="0000FF"/>
                              <w:sz w:val="20"/>
                              <w:szCs w:val="20"/>
                              <w:u w:val="single"/>
                            </w:rPr>
                            <w:t>,</w:t>
                          </w:r>
                        </w:hyperlink>
                        <w:r w:rsidRPr="00812C3E">
                          <w:rPr>
                            <w:rFonts w:ascii="Abadi" w:eastAsia="Times New Roman" w:hAnsi="Abadi" w:cs="Arial"/>
                            <w:b/>
                            <w:bCs/>
                            <w:color w:val="000000"/>
                            <w:sz w:val="20"/>
                            <w:szCs w:val="20"/>
                          </w:rPr>
                          <w:t> or any member of Riker Danzig's </w:t>
                        </w:r>
                        <w:hyperlink r:id="rId8" w:tgtFrame="_blank" w:history="1">
                          <w:r w:rsidRPr="00812C3E">
                            <w:rPr>
                              <w:rFonts w:ascii="Abadi" w:eastAsia="Times New Roman" w:hAnsi="Abadi" w:cs="Arial"/>
                              <w:b/>
                              <w:bCs/>
                              <w:color w:val="0000FF"/>
                              <w:sz w:val="20"/>
                              <w:szCs w:val="20"/>
                              <w:u w:val="single"/>
                            </w:rPr>
                            <w:t>Labor &amp; Employment Group</w:t>
                          </w:r>
                        </w:hyperlink>
                        <w:r w:rsidRPr="00812C3E">
                          <w:rPr>
                            <w:rFonts w:ascii="Abadi" w:eastAsia="Times New Roman" w:hAnsi="Abadi" w:cs="Arial"/>
                            <w:b/>
                            <w:bCs/>
                            <w:color w:val="000000"/>
                            <w:sz w:val="20"/>
                            <w:szCs w:val="20"/>
                          </w:rPr>
                          <w:t> regarding any specific legal issue affecting your business. </w:t>
                        </w:r>
                      </w:p>
                      <w:p w14:paraId="3BE29BBE" w14:textId="77777777" w:rsidR="00812C3E" w:rsidRPr="00812C3E" w:rsidRDefault="00812C3E" w:rsidP="00812C3E">
                        <w:pPr>
                          <w:spacing w:after="0" w:line="240" w:lineRule="auto"/>
                          <w:jc w:val="both"/>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p w14:paraId="7F7D9C17" w14:textId="77777777" w:rsidR="00812C3E" w:rsidRPr="00812C3E" w:rsidRDefault="00812C3E" w:rsidP="00812C3E">
                        <w:pPr>
                          <w:spacing w:after="0" w:line="240" w:lineRule="auto"/>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Please visit Riker Danzig’s </w:t>
                        </w:r>
                        <w:hyperlink r:id="rId9" w:tgtFrame="_blank" w:history="1">
                          <w:r w:rsidRPr="00812C3E">
                            <w:rPr>
                              <w:rFonts w:ascii="Abadi" w:eastAsia="Times New Roman" w:hAnsi="Abadi" w:cs="Arial"/>
                              <w:b/>
                              <w:bCs/>
                              <w:color w:val="0000FF"/>
                              <w:sz w:val="20"/>
                              <w:szCs w:val="20"/>
                              <w:u w:val="single"/>
                            </w:rPr>
                            <w:t>COVID-19 Resource Center</w:t>
                          </w:r>
                        </w:hyperlink>
                        <w:r w:rsidRPr="00812C3E">
                          <w:rPr>
                            <w:rFonts w:ascii="Abadi" w:eastAsia="Times New Roman" w:hAnsi="Abadi" w:cs="Arial"/>
                            <w:b/>
                            <w:bCs/>
                            <w:color w:val="000000"/>
                            <w:sz w:val="20"/>
                            <w:szCs w:val="20"/>
                          </w:rPr>
                          <w:t> to stay up to date on all related legal issues.</w:t>
                        </w:r>
                      </w:p>
                      <w:p w14:paraId="10DA16EB" w14:textId="77777777" w:rsidR="00812C3E" w:rsidRPr="00812C3E" w:rsidRDefault="00812C3E" w:rsidP="00812C3E">
                        <w:pPr>
                          <w:spacing w:after="0" w:line="240" w:lineRule="auto"/>
                          <w:jc w:val="both"/>
                          <w:rPr>
                            <w:rFonts w:ascii="Abadi" w:eastAsia="Times New Roman" w:hAnsi="Abadi" w:cs="Times New Roman"/>
                            <w:b/>
                            <w:bCs/>
                            <w:color w:val="4F4F4F"/>
                            <w:sz w:val="20"/>
                            <w:szCs w:val="20"/>
                          </w:rPr>
                        </w:pPr>
                        <w:r w:rsidRPr="00812C3E">
                          <w:rPr>
                            <w:rFonts w:ascii="Abadi" w:eastAsia="Times New Roman" w:hAnsi="Abadi" w:cs="Times New Roman"/>
                            <w:b/>
                            <w:bCs/>
                            <w:color w:val="4F4F4F"/>
                            <w:sz w:val="20"/>
                            <w:szCs w:val="20"/>
                          </w:rPr>
                          <w:t> </w:t>
                        </w:r>
                      </w:p>
                    </w:tc>
                  </w:tr>
                  <w:tr w:rsidR="00812C3E" w:rsidRPr="00812C3E" w14:paraId="67CF724D" w14:textId="77777777">
                    <w:trPr>
                      <w:tblCellSpacing w:w="0" w:type="dxa"/>
                    </w:trPr>
                    <w:tc>
                      <w:tcPr>
                        <w:tcW w:w="0" w:type="auto"/>
                        <w:tcBorders>
                          <w:top w:val="single" w:sz="18" w:space="0" w:color="000000"/>
                        </w:tcBorders>
                        <w:shd w:val="clear" w:color="auto" w:fill="999999"/>
                        <w:vAlign w:val="center"/>
                        <w:hideMark/>
                      </w:tcPr>
                      <w:p w14:paraId="414BCD2D"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lastRenderedPageBreak/>
                          <w:t> </w:t>
                        </w:r>
                      </w:p>
                      <w:p w14:paraId="140B019B"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RIKER DANZIG SCHERER HYLAND &amp; PERRETTI LLP</w:t>
                        </w:r>
                      </w:p>
                      <w:p w14:paraId="05494B03"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tc>
                  </w:tr>
                </w:tbl>
                <w:p w14:paraId="1C60E75D" w14:textId="77777777" w:rsidR="00812C3E" w:rsidRPr="00812C3E" w:rsidRDefault="00812C3E" w:rsidP="00812C3E">
                  <w:pPr>
                    <w:spacing w:after="0" w:line="240" w:lineRule="auto"/>
                    <w:rPr>
                      <w:rFonts w:ascii="Abadi" w:eastAsia="Times New Roman" w:hAnsi="Abadi" w:cs="Times New Roman"/>
                      <w:b/>
                      <w:bCs/>
                      <w:color w:val="000000"/>
                      <w:sz w:val="20"/>
                      <w:szCs w:val="20"/>
                    </w:rPr>
                  </w:pPr>
                </w:p>
              </w:tc>
            </w:tr>
          </w:tbl>
          <w:p w14:paraId="17C3C1E8" w14:textId="77777777" w:rsidR="00812C3E" w:rsidRPr="00812C3E" w:rsidRDefault="00812C3E" w:rsidP="00812C3E">
            <w:pPr>
              <w:spacing w:after="0" w:line="240" w:lineRule="auto"/>
              <w:rPr>
                <w:rFonts w:ascii="Abadi" w:eastAsia="Times New Roman" w:hAnsi="Abadi" w:cs="Times New Roman"/>
                <w:b/>
                <w:bCs/>
                <w:color w:val="000000"/>
                <w:sz w:val="20"/>
                <w:szCs w:val="20"/>
              </w:rPr>
            </w:pPr>
          </w:p>
        </w:tc>
      </w:tr>
      <w:tr w:rsidR="00812C3E" w:rsidRPr="00812C3E" w14:paraId="7A73A3B2" w14:textId="77777777" w:rsidTr="00812C3E">
        <w:trPr>
          <w:tblCellSpacing w:w="0" w:type="dxa"/>
        </w:trPr>
        <w:tc>
          <w:tcPr>
            <w:tcW w:w="0" w:type="auto"/>
            <w:shd w:val="clear" w:color="auto" w:fill="999999"/>
            <w:vAlign w:val="center"/>
            <w:hideMark/>
          </w:tcPr>
          <w:tbl>
            <w:tblPr>
              <w:tblW w:w="5000" w:type="pct"/>
              <w:tblCellSpacing w:w="0" w:type="dxa"/>
              <w:tblCellMar>
                <w:left w:w="0" w:type="dxa"/>
                <w:right w:w="0" w:type="dxa"/>
              </w:tblCellMar>
              <w:tblLook w:val="04A0" w:firstRow="1" w:lastRow="0" w:firstColumn="1" w:lastColumn="0" w:noHBand="0" w:noVBand="1"/>
            </w:tblPr>
            <w:tblGrid>
              <w:gridCol w:w="2970"/>
              <w:gridCol w:w="3060"/>
              <w:gridCol w:w="2970"/>
            </w:tblGrid>
            <w:tr w:rsidR="00812C3E" w:rsidRPr="00812C3E" w14:paraId="660E3AFF" w14:textId="77777777">
              <w:trPr>
                <w:tblCellSpacing w:w="0" w:type="dxa"/>
              </w:trPr>
              <w:tc>
                <w:tcPr>
                  <w:tcW w:w="1650" w:type="pct"/>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812C3E" w:rsidRPr="00812C3E" w14:paraId="6C58325C" w14:textId="77777777">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670"/>
                        </w:tblGrid>
                        <w:tr w:rsidR="00812C3E" w:rsidRPr="00812C3E" w14:paraId="3834163B" w14:textId="77777777">
                          <w:trPr>
                            <w:tblCellSpacing w:w="0" w:type="dxa"/>
                          </w:trPr>
                          <w:tc>
                            <w:tcPr>
                              <w:tcW w:w="0" w:type="auto"/>
                              <w:vAlign w:val="center"/>
                              <w:hideMark/>
                            </w:tcPr>
                            <w:p w14:paraId="3469E657"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lastRenderedPageBreak/>
                                <w:t>Morristown</w:t>
                              </w:r>
                            </w:p>
                            <w:p w14:paraId="5DB65DA9"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973.538.0800</w:t>
                              </w:r>
                            </w:p>
                          </w:tc>
                        </w:tr>
                      </w:tbl>
                      <w:p w14:paraId="4145963F" w14:textId="77777777" w:rsidR="00812C3E" w:rsidRPr="00812C3E" w:rsidRDefault="00812C3E" w:rsidP="00812C3E">
                        <w:pPr>
                          <w:spacing w:after="0" w:line="240" w:lineRule="auto"/>
                          <w:rPr>
                            <w:rFonts w:ascii="Abadi" w:eastAsia="Times New Roman" w:hAnsi="Abadi" w:cs="Times New Roman"/>
                            <w:b/>
                            <w:bCs/>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2670"/>
                        </w:tblGrid>
                        <w:tr w:rsidR="00812C3E" w:rsidRPr="00812C3E" w14:paraId="69A49399" w14:textId="77777777" w:rsidTr="00812C3E">
                          <w:trPr>
                            <w:tblCellSpacing w:w="0" w:type="dxa"/>
                          </w:trPr>
                          <w:tc>
                            <w:tcPr>
                              <w:tcW w:w="0" w:type="auto"/>
                              <w:vAlign w:val="center"/>
                              <w:hideMark/>
                            </w:tcPr>
                            <w:p w14:paraId="25A1CD4C"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p w14:paraId="4B4DB15A"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White Plains</w:t>
                              </w:r>
                            </w:p>
                            <w:p w14:paraId="7E99B43D"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914.539.3360</w:t>
                              </w:r>
                            </w:p>
                          </w:tc>
                        </w:tr>
                      </w:tbl>
                      <w:p w14:paraId="69BF5621" w14:textId="77777777" w:rsidR="00812C3E" w:rsidRPr="00812C3E" w:rsidRDefault="00812C3E" w:rsidP="00812C3E">
                        <w:pPr>
                          <w:spacing w:after="0" w:line="240" w:lineRule="auto"/>
                          <w:rPr>
                            <w:rFonts w:ascii="Abadi" w:eastAsia="Times New Roman" w:hAnsi="Abadi" w:cs="Times New Roman"/>
                            <w:b/>
                            <w:bCs/>
                            <w:color w:val="000000"/>
                            <w:sz w:val="20"/>
                            <w:szCs w:val="20"/>
                          </w:rPr>
                        </w:pPr>
                      </w:p>
                    </w:tc>
                  </w:tr>
                </w:tbl>
                <w:p w14:paraId="0E90F5BA" w14:textId="77777777" w:rsidR="00812C3E" w:rsidRPr="00812C3E" w:rsidRDefault="00812C3E" w:rsidP="00812C3E">
                  <w:pPr>
                    <w:spacing w:after="0" w:line="240" w:lineRule="auto"/>
                    <w:rPr>
                      <w:rFonts w:ascii="Abadi" w:eastAsia="Times New Roman" w:hAnsi="Abadi" w:cs="Times New Roman"/>
                      <w:b/>
                      <w:bCs/>
                      <w:color w:val="000000"/>
                      <w:sz w:val="20"/>
                      <w:szCs w:val="20"/>
                    </w:rPr>
                  </w:pPr>
                </w:p>
              </w:tc>
              <w:tc>
                <w:tcPr>
                  <w:tcW w:w="1700" w:type="pct"/>
                  <w:hideMark/>
                </w:tcPr>
                <w:tbl>
                  <w:tblPr>
                    <w:tblW w:w="5000" w:type="pct"/>
                    <w:tblCellSpacing w:w="0" w:type="dxa"/>
                    <w:tblCellMar>
                      <w:left w:w="0" w:type="dxa"/>
                      <w:right w:w="0" w:type="dxa"/>
                    </w:tblCellMar>
                    <w:tblLook w:val="04A0" w:firstRow="1" w:lastRow="0" w:firstColumn="1" w:lastColumn="0" w:noHBand="0" w:noVBand="1"/>
                  </w:tblPr>
                  <w:tblGrid>
                    <w:gridCol w:w="3060"/>
                  </w:tblGrid>
                  <w:tr w:rsidR="00812C3E" w:rsidRPr="00812C3E" w14:paraId="67CE33AE" w14:textId="77777777">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760"/>
                        </w:tblGrid>
                        <w:tr w:rsidR="00812C3E" w:rsidRPr="00812C3E" w14:paraId="74D62D4A" w14:textId="77777777" w:rsidTr="00812C3E">
                          <w:trPr>
                            <w:tblCellSpacing w:w="0" w:type="dxa"/>
                          </w:trPr>
                          <w:tc>
                            <w:tcPr>
                              <w:tcW w:w="0" w:type="auto"/>
                              <w:vAlign w:val="center"/>
                              <w:hideMark/>
                            </w:tcPr>
                            <w:p w14:paraId="6A2F8F40"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Trenton</w:t>
                              </w:r>
                            </w:p>
                            <w:p w14:paraId="3D976A4F"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609.396.2121</w:t>
                              </w:r>
                            </w:p>
                          </w:tc>
                        </w:tr>
                        <w:tr w:rsidR="00812C3E" w:rsidRPr="00812C3E" w14:paraId="750728E0" w14:textId="77777777">
                          <w:trPr>
                            <w:tblCellSpacing w:w="0" w:type="dxa"/>
                          </w:trPr>
                          <w:tc>
                            <w:tcPr>
                              <w:tcW w:w="0" w:type="auto"/>
                              <w:vAlign w:val="center"/>
                              <w:hideMark/>
                            </w:tcPr>
                            <w:p w14:paraId="579472DB"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br/>
                              </w:r>
                              <w:hyperlink r:id="rId10" w:tgtFrame="_blank" w:history="1">
                                <w:r w:rsidRPr="00812C3E">
                                  <w:rPr>
                                    <w:rFonts w:ascii="Abadi" w:eastAsia="Times New Roman" w:hAnsi="Abadi" w:cs="Arial"/>
                                    <w:b/>
                                    <w:bCs/>
                                    <w:color w:val="000000"/>
                                    <w:sz w:val="20"/>
                                    <w:szCs w:val="20"/>
                                    <w:u w:val="single"/>
                                  </w:rPr>
                                  <w:t>www.riker.com</w:t>
                                </w:r>
                              </w:hyperlink>
                              <w:r w:rsidRPr="00812C3E">
                                <w:rPr>
                                  <w:rFonts w:ascii="Abadi" w:eastAsia="Times New Roman" w:hAnsi="Abadi" w:cs="Arial"/>
                                  <w:b/>
                                  <w:bCs/>
                                  <w:color w:val="000000"/>
                                  <w:sz w:val="20"/>
                                  <w:szCs w:val="20"/>
                                </w:rPr>
                                <w:br/>
                              </w:r>
                              <w:hyperlink r:id="rId11" w:tgtFrame="_blank" w:history="1">
                                <w:r w:rsidRPr="00812C3E">
                                  <w:rPr>
                                    <w:rFonts w:ascii="Abadi" w:eastAsia="Times New Roman" w:hAnsi="Abadi" w:cs="Arial"/>
                                    <w:b/>
                                    <w:bCs/>
                                    <w:color w:val="000000"/>
                                    <w:sz w:val="20"/>
                                    <w:szCs w:val="20"/>
                                    <w:u w:val="single"/>
                                  </w:rPr>
                                  <w:t>info@riker.com</w:t>
                                </w:r>
                              </w:hyperlink>
                            </w:p>
                          </w:tc>
                        </w:tr>
                      </w:tbl>
                      <w:p w14:paraId="2EB81A1A" w14:textId="77777777" w:rsidR="00812C3E" w:rsidRPr="00812C3E" w:rsidRDefault="00812C3E" w:rsidP="00812C3E">
                        <w:pPr>
                          <w:spacing w:after="0" w:line="240" w:lineRule="auto"/>
                          <w:rPr>
                            <w:rFonts w:ascii="Abadi" w:eastAsia="Times New Roman" w:hAnsi="Abadi" w:cs="Times New Roman"/>
                            <w:b/>
                            <w:bCs/>
                            <w:color w:val="000000"/>
                            <w:sz w:val="20"/>
                            <w:szCs w:val="20"/>
                          </w:rPr>
                        </w:pPr>
                      </w:p>
                    </w:tc>
                  </w:tr>
                </w:tbl>
                <w:p w14:paraId="6CA18B0D" w14:textId="77777777" w:rsidR="00812C3E" w:rsidRPr="00812C3E" w:rsidRDefault="00812C3E" w:rsidP="00812C3E">
                  <w:pPr>
                    <w:spacing w:after="0" w:line="240" w:lineRule="auto"/>
                    <w:rPr>
                      <w:rFonts w:ascii="Abadi" w:eastAsia="Times New Roman" w:hAnsi="Abadi" w:cs="Times New Roman"/>
                      <w:b/>
                      <w:bCs/>
                      <w:color w:val="000000"/>
                      <w:sz w:val="20"/>
                      <w:szCs w:val="20"/>
                    </w:rPr>
                  </w:pPr>
                </w:p>
              </w:tc>
              <w:tc>
                <w:tcPr>
                  <w:tcW w:w="1650" w:type="pct"/>
                  <w:shd w:val="clear" w:color="auto" w:fill="999999"/>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812C3E" w:rsidRPr="00812C3E" w14:paraId="4CD099F9" w14:textId="77777777">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670"/>
                        </w:tblGrid>
                        <w:tr w:rsidR="00812C3E" w:rsidRPr="00812C3E" w14:paraId="4F3CB5F9" w14:textId="77777777" w:rsidTr="00812C3E">
                          <w:trPr>
                            <w:tblCellSpacing w:w="0" w:type="dxa"/>
                          </w:trPr>
                          <w:tc>
                            <w:tcPr>
                              <w:tcW w:w="0" w:type="auto"/>
                              <w:vAlign w:val="center"/>
                              <w:hideMark/>
                            </w:tcPr>
                            <w:p w14:paraId="0C6060B2"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New York</w:t>
                              </w:r>
                            </w:p>
                            <w:p w14:paraId="686A4096"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212.302.6574</w:t>
                              </w:r>
                            </w:p>
                          </w:tc>
                        </w:tr>
                        <w:tr w:rsidR="00812C3E" w:rsidRPr="00812C3E" w14:paraId="7DB157C5" w14:textId="77777777">
                          <w:trPr>
                            <w:tblCellSpacing w:w="0" w:type="dxa"/>
                          </w:trPr>
                          <w:tc>
                            <w:tcPr>
                              <w:tcW w:w="0" w:type="auto"/>
                              <w:vAlign w:val="center"/>
                              <w:hideMark/>
                            </w:tcPr>
                            <w:p w14:paraId="671DF87B"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p w14:paraId="03D27D86"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Stamford</w:t>
                              </w:r>
                            </w:p>
                            <w:p w14:paraId="3D26344E"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203.326.6740</w:t>
                              </w:r>
                            </w:p>
                          </w:tc>
                        </w:tr>
                      </w:tbl>
                      <w:p w14:paraId="17810CB1" w14:textId="77777777" w:rsidR="00812C3E" w:rsidRPr="00812C3E" w:rsidRDefault="00812C3E" w:rsidP="00812C3E">
                        <w:pPr>
                          <w:spacing w:after="0" w:line="240" w:lineRule="auto"/>
                          <w:rPr>
                            <w:rFonts w:ascii="Abadi" w:eastAsia="Times New Roman" w:hAnsi="Abadi" w:cs="Times New Roman"/>
                            <w:b/>
                            <w:bCs/>
                            <w:color w:val="000000"/>
                            <w:sz w:val="20"/>
                            <w:szCs w:val="20"/>
                          </w:rPr>
                        </w:pPr>
                      </w:p>
                    </w:tc>
                  </w:tr>
                </w:tbl>
                <w:p w14:paraId="79AFBDB8" w14:textId="77777777" w:rsidR="00812C3E" w:rsidRPr="00812C3E" w:rsidRDefault="00812C3E" w:rsidP="00812C3E">
                  <w:pPr>
                    <w:spacing w:after="0" w:line="240" w:lineRule="auto"/>
                    <w:rPr>
                      <w:rFonts w:ascii="Abadi" w:eastAsia="Times New Roman" w:hAnsi="Abadi" w:cs="Times New Roman"/>
                      <w:b/>
                      <w:bCs/>
                      <w:color w:val="000000"/>
                      <w:sz w:val="20"/>
                      <w:szCs w:val="20"/>
                    </w:rPr>
                  </w:pPr>
                </w:p>
              </w:tc>
            </w:tr>
          </w:tbl>
          <w:p w14:paraId="4AFA2BEB" w14:textId="77777777" w:rsidR="00812C3E" w:rsidRPr="00812C3E" w:rsidRDefault="00812C3E" w:rsidP="00812C3E">
            <w:pPr>
              <w:spacing w:after="0" w:line="240" w:lineRule="auto"/>
              <w:rPr>
                <w:rFonts w:ascii="Abadi" w:eastAsia="Times New Roman" w:hAnsi="Abadi" w:cs="Times New Roman"/>
                <w:b/>
                <w:bCs/>
                <w:color w:val="000000"/>
                <w:sz w:val="20"/>
                <w:szCs w:val="20"/>
              </w:rPr>
            </w:pPr>
          </w:p>
        </w:tc>
      </w:tr>
      <w:tr w:rsidR="00812C3E" w:rsidRPr="00812C3E" w14:paraId="566648AE" w14:textId="77777777" w:rsidTr="00812C3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12C3E" w:rsidRPr="00812C3E" w14:paraId="319920C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12C3E" w:rsidRPr="00812C3E" w14:paraId="732E2990" w14:textId="77777777">
                    <w:trPr>
                      <w:tblCellSpacing w:w="0" w:type="dxa"/>
                    </w:trPr>
                    <w:tc>
                      <w:tcPr>
                        <w:tcW w:w="0" w:type="auto"/>
                        <w:tcBorders>
                          <w:top w:val="nil"/>
                          <w:left w:val="nil"/>
                          <w:bottom w:val="nil"/>
                          <w:right w:val="nil"/>
                        </w:tcBorders>
                        <w:shd w:val="clear" w:color="auto" w:fill="999999"/>
                        <w:vAlign w:val="center"/>
                        <w:hideMark/>
                      </w:tcPr>
                      <w:p w14:paraId="415BCEE3"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p w14:paraId="7A1CB19A"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We send these Updates to our clients and friends to share our insights on new developments in the law.</w:t>
                        </w:r>
                      </w:p>
                      <w:p w14:paraId="39D66AAA"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 xml:space="preserve">Nothing in this Update should be relied upon as legal advice in any </w:t>
                        </w:r>
                        <w:proofErr w:type="gramStart"/>
                        <w:r w:rsidRPr="00812C3E">
                          <w:rPr>
                            <w:rFonts w:ascii="Abadi" w:eastAsia="Times New Roman" w:hAnsi="Abadi" w:cs="Arial"/>
                            <w:b/>
                            <w:bCs/>
                            <w:color w:val="000000"/>
                            <w:sz w:val="20"/>
                            <w:szCs w:val="20"/>
                          </w:rPr>
                          <w:t>particular matter</w:t>
                        </w:r>
                        <w:proofErr w:type="gramEnd"/>
                        <w:r w:rsidRPr="00812C3E">
                          <w:rPr>
                            <w:rFonts w:ascii="Abadi" w:eastAsia="Times New Roman" w:hAnsi="Abadi" w:cs="Arial"/>
                            <w:b/>
                            <w:bCs/>
                            <w:color w:val="000000"/>
                            <w:sz w:val="20"/>
                            <w:szCs w:val="20"/>
                          </w:rPr>
                          <w:t>. </w:t>
                        </w:r>
                      </w:p>
                      <w:p w14:paraId="71C6D033" w14:textId="77777777" w:rsidR="00812C3E" w:rsidRPr="00812C3E" w:rsidRDefault="00812C3E" w:rsidP="00812C3E">
                        <w:pPr>
                          <w:spacing w:after="0" w:line="240" w:lineRule="auto"/>
                          <w:jc w:val="center"/>
                          <w:rPr>
                            <w:rFonts w:ascii="Abadi" w:eastAsia="Times New Roman" w:hAnsi="Abadi" w:cs="Times New Roman"/>
                            <w:b/>
                            <w:bCs/>
                            <w:color w:val="000000"/>
                            <w:sz w:val="20"/>
                            <w:szCs w:val="20"/>
                          </w:rPr>
                        </w:pPr>
                        <w:r w:rsidRPr="00812C3E">
                          <w:rPr>
                            <w:rFonts w:ascii="Abadi" w:eastAsia="Times New Roman" w:hAnsi="Abadi" w:cs="Arial"/>
                            <w:b/>
                            <w:bCs/>
                            <w:color w:val="000000"/>
                            <w:sz w:val="20"/>
                            <w:szCs w:val="20"/>
                          </w:rPr>
                          <w:t xml:space="preserve">© 2020 Riker Danzig Scherer Hyland &amp; </w:t>
                        </w:r>
                        <w:proofErr w:type="spellStart"/>
                        <w:r w:rsidRPr="00812C3E">
                          <w:rPr>
                            <w:rFonts w:ascii="Abadi" w:eastAsia="Times New Roman" w:hAnsi="Abadi" w:cs="Arial"/>
                            <w:b/>
                            <w:bCs/>
                            <w:color w:val="000000"/>
                            <w:sz w:val="20"/>
                            <w:szCs w:val="20"/>
                          </w:rPr>
                          <w:t>Perretti</w:t>
                        </w:r>
                        <w:proofErr w:type="spellEnd"/>
                        <w:r w:rsidRPr="00812C3E">
                          <w:rPr>
                            <w:rFonts w:ascii="Abadi" w:eastAsia="Times New Roman" w:hAnsi="Abadi" w:cs="Arial"/>
                            <w:b/>
                            <w:bCs/>
                            <w:color w:val="000000"/>
                            <w:sz w:val="20"/>
                            <w:szCs w:val="20"/>
                          </w:rPr>
                          <w:t xml:space="preserve"> LLP.</w:t>
                        </w:r>
                      </w:p>
                    </w:tc>
                  </w:tr>
                </w:tbl>
                <w:p w14:paraId="4CFD6F06" w14:textId="77777777" w:rsidR="00812C3E" w:rsidRPr="00812C3E" w:rsidRDefault="00812C3E" w:rsidP="00812C3E">
                  <w:pPr>
                    <w:spacing w:after="0" w:line="240" w:lineRule="auto"/>
                    <w:rPr>
                      <w:rFonts w:ascii="Abadi" w:eastAsia="Times New Roman" w:hAnsi="Abadi" w:cs="Times New Roman"/>
                      <w:b/>
                      <w:bCs/>
                      <w:color w:val="000000"/>
                      <w:sz w:val="20"/>
                      <w:szCs w:val="20"/>
                    </w:rPr>
                  </w:pPr>
                </w:p>
              </w:tc>
            </w:tr>
          </w:tbl>
          <w:p w14:paraId="5A8C60B1" w14:textId="77777777" w:rsidR="00812C3E" w:rsidRPr="00812C3E" w:rsidRDefault="00812C3E" w:rsidP="00812C3E">
            <w:pPr>
              <w:spacing w:after="0" w:line="240" w:lineRule="auto"/>
              <w:rPr>
                <w:rFonts w:ascii="Abadi" w:eastAsia="Times New Roman" w:hAnsi="Abadi" w:cs="Times New Roman"/>
                <w:b/>
                <w:bCs/>
                <w:color w:val="000000"/>
                <w:sz w:val="20"/>
                <w:szCs w:val="20"/>
              </w:rPr>
            </w:pPr>
          </w:p>
        </w:tc>
      </w:tr>
      <w:tr w:rsidR="00812C3E" w:rsidRPr="00812C3E" w14:paraId="01E0FD3E" w14:textId="77777777" w:rsidTr="00812C3E">
        <w:trPr>
          <w:tblCellSpacing w:w="0" w:type="dxa"/>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12C3E" w:rsidRPr="00812C3E" w14:paraId="37BD1028" w14:textId="77777777">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812C3E" w:rsidRPr="00812C3E" w14:paraId="53AEA4AD" w14:textId="77777777">
                    <w:trPr>
                      <w:tblCellSpacing w:w="0" w:type="dxa"/>
                    </w:trPr>
                    <w:tc>
                      <w:tcPr>
                        <w:tcW w:w="0" w:type="auto"/>
                        <w:vAlign w:val="center"/>
                        <w:hideMark/>
                      </w:tcPr>
                      <w:p w14:paraId="2CFF2802" w14:textId="77777777" w:rsidR="00812C3E" w:rsidRPr="00812C3E" w:rsidRDefault="00812C3E" w:rsidP="00812C3E">
                        <w:pPr>
                          <w:spacing w:after="0" w:line="240" w:lineRule="auto"/>
                          <w:rPr>
                            <w:rFonts w:ascii="Abadi" w:eastAsia="Times New Roman" w:hAnsi="Abadi" w:cs="Times New Roman"/>
                            <w:b/>
                            <w:bCs/>
                            <w:color w:val="000000"/>
                            <w:sz w:val="20"/>
                            <w:szCs w:val="20"/>
                          </w:rPr>
                        </w:pPr>
                        <w:r w:rsidRPr="00812C3E">
                          <w:rPr>
                            <w:rFonts w:ascii="Abadi" w:eastAsia="Times New Roman" w:hAnsi="Abadi" w:cs="Times New Roman"/>
                            <w:b/>
                            <w:bCs/>
                            <w:color w:val="000000"/>
                            <w:sz w:val="20"/>
                            <w:szCs w:val="20"/>
                          </w:rPr>
                          <w:t> </w:t>
                        </w:r>
                      </w:p>
                    </w:tc>
                  </w:tr>
                </w:tbl>
                <w:p w14:paraId="6DF0536B" w14:textId="77777777" w:rsidR="00812C3E" w:rsidRPr="00812C3E" w:rsidRDefault="00812C3E" w:rsidP="00812C3E">
                  <w:pPr>
                    <w:spacing w:after="0" w:line="240" w:lineRule="auto"/>
                    <w:rPr>
                      <w:rFonts w:ascii="Abadi" w:eastAsia="Times New Roman" w:hAnsi="Abadi" w:cs="Times New Roman"/>
                      <w:b/>
                      <w:bCs/>
                      <w:color w:val="000000"/>
                      <w:sz w:val="20"/>
                      <w:szCs w:val="20"/>
                    </w:rPr>
                  </w:pPr>
                </w:p>
              </w:tc>
            </w:tr>
          </w:tbl>
          <w:p w14:paraId="6B2191BD" w14:textId="77777777" w:rsidR="00812C3E" w:rsidRPr="00812C3E" w:rsidRDefault="00812C3E" w:rsidP="00812C3E">
            <w:pPr>
              <w:spacing w:after="0" w:line="240" w:lineRule="auto"/>
              <w:rPr>
                <w:rFonts w:ascii="Abadi" w:eastAsia="Times New Roman" w:hAnsi="Abadi" w:cs="Times New Roman"/>
                <w:b/>
                <w:bCs/>
                <w:color w:val="000000"/>
                <w:sz w:val="20"/>
                <w:szCs w:val="20"/>
              </w:rPr>
            </w:pPr>
          </w:p>
        </w:tc>
      </w:tr>
    </w:tbl>
    <w:p w14:paraId="07BD01E6" w14:textId="77777777" w:rsidR="00A348CF" w:rsidRPr="00812C3E" w:rsidRDefault="00E85BD5">
      <w:pPr>
        <w:rPr>
          <w:rFonts w:ascii="Abadi" w:hAnsi="Abadi"/>
        </w:rPr>
      </w:pPr>
    </w:p>
    <w:sectPr w:rsidR="00A348CF" w:rsidRPr="00812C3E" w:rsidSect="00812C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3E"/>
    <w:rsid w:val="004E2420"/>
    <w:rsid w:val="00812C3E"/>
    <w:rsid w:val="00A03B86"/>
    <w:rsid w:val="00C95EE7"/>
    <w:rsid w:val="00E85BD5"/>
    <w:rsid w:val="00F1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D443"/>
  <w15:chartTrackingRefBased/>
  <w15:docId w15:val="{0C839B97-D010-4CD2-9F2A-A177BE34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C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2C3E"/>
    <w:rPr>
      <w:b/>
      <w:bCs/>
    </w:rPr>
  </w:style>
  <w:style w:type="character" w:styleId="Hyperlink">
    <w:name w:val="Hyperlink"/>
    <w:basedOn w:val="DefaultParagraphFont"/>
    <w:uiPriority w:val="99"/>
    <w:semiHidden/>
    <w:unhideWhenUsed/>
    <w:rsid w:val="00812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884535">
      <w:bodyDiv w:val="1"/>
      <w:marLeft w:val="0"/>
      <w:marRight w:val="0"/>
      <w:marTop w:val="0"/>
      <w:marBottom w:val="0"/>
      <w:divBdr>
        <w:top w:val="none" w:sz="0" w:space="0" w:color="auto"/>
        <w:left w:val="none" w:sz="0" w:space="0" w:color="auto"/>
        <w:bottom w:val="none" w:sz="0" w:space="0" w:color="auto"/>
        <w:right w:val="none" w:sz="0" w:space="0" w:color="auto"/>
      </w:divBdr>
      <w:divsChild>
        <w:div w:id="782457269">
          <w:marLeft w:val="0"/>
          <w:marRight w:val="0"/>
          <w:marTop w:val="0"/>
          <w:marBottom w:val="0"/>
          <w:divBdr>
            <w:top w:val="none" w:sz="0" w:space="0" w:color="C2D9E7"/>
            <w:left w:val="none" w:sz="0" w:space="0" w:color="C2D9E7"/>
            <w:bottom w:val="none" w:sz="0" w:space="0" w:color="C2D9E7"/>
            <w:right w:val="none" w:sz="0" w:space="0" w:color="C2D9E7"/>
          </w:divBdr>
        </w:div>
        <w:div w:id="237446992">
          <w:marLeft w:val="0"/>
          <w:marRight w:val="0"/>
          <w:marTop w:val="0"/>
          <w:marBottom w:val="0"/>
          <w:divBdr>
            <w:top w:val="none" w:sz="0" w:space="0" w:color="auto"/>
            <w:left w:val="none" w:sz="0" w:space="0" w:color="auto"/>
            <w:bottom w:val="none" w:sz="0" w:space="0" w:color="auto"/>
            <w:right w:val="none" w:sz="0" w:space="0" w:color="auto"/>
          </w:divBdr>
        </w:div>
        <w:div w:id="144979879">
          <w:marLeft w:val="0"/>
          <w:marRight w:val="0"/>
          <w:marTop w:val="0"/>
          <w:marBottom w:val="0"/>
          <w:divBdr>
            <w:top w:val="none" w:sz="0" w:space="0" w:color="C2D9E7"/>
            <w:left w:val="none" w:sz="0" w:space="0" w:color="C2D9E7"/>
            <w:bottom w:val="none" w:sz="0" w:space="0" w:color="C2D9E7"/>
            <w:right w:val="none" w:sz="0" w:space="0" w:color="C2D9E7"/>
          </w:divBdr>
        </w:div>
        <w:div w:id="1628504673">
          <w:marLeft w:val="0"/>
          <w:marRight w:val="0"/>
          <w:marTop w:val="0"/>
          <w:marBottom w:val="0"/>
          <w:divBdr>
            <w:top w:val="none" w:sz="0" w:space="0" w:color="C2D9E7"/>
            <w:left w:val="none" w:sz="0" w:space="0" w:color="C2D9E7"/>
            <w:bottom w:val="none" w:sz="0" w:space="0" w:color="C2D9E7"/>
            <w:right w:val="none" w:sz="0" w:space="0" w:color="C2D9E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icptrack.com/icp/relay.php?r=47267407&amp;msgid=423306&amp;act=1026&amp;c=1312909&amp;destination=http%3A%2F%2Friker.com%2Fattorneys%2Flegal-services%2Flabor-employment-law&amp;cf=2627&amp;v=0d715507a4c8541fb2cf3b6cec73808c5347e0cf83d9b8b92c8e999988bf5b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cousland@riker.com?subject=Riker%20Danzig%20Labor%20%26%20Employment%20Aler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cinerney@riker.com?subject=Riker%20Danzig%20Labor%20%26%20Employment%20Alert" TargetMode="External"/><Relationship Id="rId11" Type="http://schemas.openxmlformats.org/officeDocument/2006/relationships/hyperlink" Target="mailto:info@riker.com" TargetMode="External"/><Relationship Id="rId5" Type="http://schemas.openxmlformats.org/officeDocument/2006/relationships/hyperlink" Target="mailto:sohnegian@riker.com?subject=Riker%20Danzig%20Labor%20%26%20Employment%20Alert" TargetMode="External"/><Relationship Id="rId10" Type="http://schemas.openxmlformats.org/officeDocument/2006/relationships/hyperlink" Target="https://click.icptrack.com/icp/relay.php?r=47267407&amp;msgid=423306&amp;act=1026&amp;c=1312909&amp;destination=http%3A%2F%2Fwww.riker.com&amp;cf=2627&amp;v=6c0fb62744ca9cb3994312f11a112fa2994405a9a2a12643f80bfc51f056846e" TargetMode="External"/><Relationship Id="rId4" Type="http://schemas.openxmlformats.org/officeDocument/2006/relationships/image" Target="media/image1.jpeg"/><Relationship Id="rId9" Type="http://schemas.openxmlformats.org/officeDocument/2006/relationships/hyperlink" Target="https://click.icptrack.com/icp/relay.php?r=47267407&amp;msgid=423306&amp;act=1026&amp;c=1312909&amp;destination=http%3A%2F%2Friker.com%2Fpublications%2Fcovid-19-resource-center&amp;cf=2627&amp;v=2b6d971fcbe5c1376eaf893ea20b5f1a9e026d77adb8bb6011d7dadc54889c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Phipps</dc:creator>
  <cp:keywords/>
  <dc:description/>
  <cp:lastModifiedBy>Vanessa Phipps</cp:lastModifiedBy>
  <cp:revision>2</cp:revision>
  <dcterms:created xsi:type="dcterms:W3CDTF">2020-04-24T17:58:00Z</dcterms:created>
  <dcterms:modified xsi:type="dcterms:W3CDTF">2020-04-24T17:58:00Z</dcterms:modified>
</cp:coreProperties>
</file>